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3B" w:rsidRPr="00FD62B6" w:rsidRDefault="002D063B" w:rsidP="002D063B">
      <w:pPr>
        <w:pBdr>
          <w:top w:val="single" w:sz="18" w:space="1" w:color="000000"/>
          <w:left w:val="single" w:sz="18" w:space="4" w:color="000000"/>
          <w:bottom w:val="single" w:sz="18" w:space="4" w:color="000000"/>
          <w:right w:val="single" w:sz="18" w:space="3" w:color="000000"/>
        </w:pBdr>
        <w:tabs>
          <w:tab w:val="left" w:pos="3000"/>
        </w:tabs>
        <w:rPr>
          <w:b/>
          <w:bCs/>
        </w:rPr>
      </w:pPr>
      <w:r>
        <w:rPr>
          <w:b/>
          <w:bCs/>
        </w:rPr>
        <w:tab/>
      </w:r>
    </w:p>
    <w:p w:rsidR="002D063B" w:rsidRPr="00FD62B6" w:rsidRDefault="002D063B" w:rsidP="002D063B">
      <w:pPr>
        <w:pBdr>
          <w:top w:val="single" w:sz="18" w:space="1" w:color="000000"/>
          <w:left w:val="single" w:sz="18" w:space="4" w:color="000000"/>
          <w:bottom w:val="single" w:sz="18" w:space="4" w:color="000000"/>
          <w:right w:val="single" w:sz="18" w:space="3" w:color="000000"/>
        </w:pBdr>
        <w:tabs>
          <w:tab w:val="right" w:pos="10440"/>
        </w:tabs>
      </w:pPr>
      <w:r>
        <w:rPr>
          <w:b/>
          <w:bCs/>
        </w:rPr>
        <w:t>Catherine E. Pugh</w:t>
      </w:r>
      <w:r w:rsidRPr="00FD62B6">
        <w:tab/>
        <w:t>Room 250</w:t>
      </w:r>
    </w:p>
    <w:p w:rsidR="002D063B" w:rsidRPr="00FD62B6" w:rsidRDefault="002D063B" w:rsidP="002D063B">
      <w:pPr>
        <w:pBdr>
          <w:top w:val="single" w:sz="18" w:space="1" w:color="000000"/>
          <w:left w:val="single" w:sz="18" w:space="4" w:color="000000"/>
          <w:bottom w:val="single" w:sz="18" w:space="4" w:color="000000"/>
          <w:right w:val="single" w:sz="18" w:space="3" w:color="000000"/>
        </w:pBdr>
        <w:tabs>
          <w:tab w:val="right" w:pos="10440"/>
        </w:tabs>
      </w:pPr>
      <w:r w:rsidRPr="00FD62B6">
        <w:rPr>
          <w:i/>
          <w:iCs/>
        </w:rPr>
        <w:t>Mayor</w:t>
      </w:r>
      <w:r w:rsidRPr="00FD62B6">
        <w:tab/>
        <w:t>City Hall</w:t>
      </w:r>
    </w:p>
    <w:p w:rsidR="002D063B" w:rsidRPr="00FD62B6" w:rsidRDefault="002D063B" w:rsidP="002D063B">
      <w:pPr>
        <w:pBdr>
          <w:top w:val="single" w:sz="18" w:space="1" w:color="000000"/>
          <w:left w:val="single" w:sz="18" w:space="4" w:color="000000"/>
          <w:bottom w:val="single" w:sz="18" w:space="4" w:color="000000"/>
          <w:right w:val="single" w:sz="18" w:space="3" w:color="000000"/>
        </w:pBdr>
        <w:tabs>
          <w:tab w:val="right" w:pos="10440"/>
        </w:tabs>
      </w:pPr>
      <w:r w:rsidRPr="00FD62B6">
        <w:t xml:space="preserve"> </w:t>
      </w:r>
      <w:r w:rsidRPr="00FD62B6">
        <w:tab/>
        <w:t>Baltimore, MD 21202</w:t>
      </w:r>
    </w:p>
    <w:p w:rsidR="002D063B" w:rsidRPr="00FD62B6" w:rsidRDefault="002D063B" w:rsidP="002D063B">
      <w:pPr>
        <w:pBdr>
          <w:top w:val="single" w:sz="18" w:space="1" w:color="000000"/>
          <w:left w:val="single" w:sz="18" w:space="4" w:color="000000"/>
          <w:bottom w:val="single" w:sz="18" w:space="4" w:color="000000"/>
          <w:right w:val="single" w:sz="18" w:space="3" w:color="000000"/>
        </w:pBdr>
      </w:pPr>
    </w:p>
    <w:p w:rsidR="002D063B" w:rsidRPr="00FD62B6" w:rsidRDefault="002D063B" w:rsidP="002D063B">
      <w:pPr>
        <w:ind w:left="720" w:right="720"/>
        <w:rPr>
          <w:b/>
          <w:bCs/>
        </w:rPr>
      </w:pPr>
    </w:p>
    <w:p w:rsidR="002D063B" w:rsidRDefault="002D063B" w:rsidP="002D063B">
      <w:pPr>
        <w:tabs>
          <w:tab w:val="right" w:pos="10080"/>
        </w:tabs>
        <w:ind w:left="720" w:right="720"/>
        <w:rPr>
          <w:b/>
          <w:bCs/>
          <w:lang w:val="it-IT"/>
        </w:rPr>
      </w:pPr>
      <w:r>
        <w:rPr>
          <w:b/>
          <w:bCs/>
          <w:lang w:val="it-IT"/>
        </w:rPr>
        <w:t>PRIVILEGED AND CONFIDENTIAL</w:t>
      </w:r>
    </w:p>
    <w:p w:rsidR="002D063B" w:rsidRPr="00B33868" w:rsidRDefault="002D063B" w:rsidP="002D063B">
      <w:pPr>
        <w:tabs>
          <w:tab w:val="right" w:pos="10710"/>
        </w:tabs>
        <w:ind w:left="720"/>
        <w:rPr>
          <w:bCs/>
        </w:rPr>
      </w:pPr>
      <w:r w:rsidRPr="00FD62B6">
        <w:rPr>
          <w:b/>
          <w:bCs/>
        </w:rPr>
        <w:t xml:space="preserve">M E M O R </w:t>
      </w:r>
      <w:proofErr w:type="gramStart"/>
      <w:r w:rsidRPr="00FD62B6">
        <w:rPr>
          <w:b/>
          <w:bCs/>
        </w:rPr>
        <w:t>A</w:t>
      </w:r>
      <w:proofErr w:type="gramEnd"/>
      <w:r w:rsidRPr="00FD62B6">
        <w:rPr>
          <w:b/>
          <w:bCs/>
        </w:rPr>
        <w:t xml:space="preserve"> N D U M:</w:t>
      </w:r>
      <w:r w:rsidRPr="00FD62B6">
        <w:rPr>
          <w:b/>
          <w:bCs/>
        </w:rPr>
        <w:tab/>
      </w:r>
      <w:r w:rsidR="000A101C">
        <w:rPr>
          <w:bCs/>
        </w:rPr>
        <w:t>April</w:t>
      </w:r>
      <w:r>
        <w:rPr>
          <w:bCs/>
        </w:rPr>
        <w:t xml:space="preserve"> </w:t>
      </w:r>
      <w:r w:rsidR="000A101C">
        <w:rPr>
          <w:bCs/>
        </w:rPr>
        <w:t>19</w:t>
      </w:r>
      <w:r w:rsidR="000A101C" w:rsidRPr="000A101C">
        <w:rPr>
          <w:bCs/>
          <w:vertAlign w:val="superscript"/>
        </w:rPr>
        <w:t>th</w:t>
      </w:r>
      <w:r>
        <w:rPr>
          <w:bCs/>
        </w:rPr>
        <w:t>, 2017</w:t>
      </w:r>
    </w:p>
    <w:p w:rsidR="002D063B" w:rsidRPr="00FD62B6" w:rsidRDefault="002D063B" w:rsidP="002D063B">
      <w:pPr>
        <w:ind w:left="720"/>
      </w:pPr>
    </w:p>
    <w:p w:rsidR="002D063B" w:rsidRDefault="002D063B" w:rsidP="002D063B">
      <w:pPr>
        <w:widowControl w:val="0"/>
        <w:tabs>
          <w:tab w:val="left" w:pos="-720"/>
        </w:tabs>
        <w:ind w:left="2160" w:right="720" w:hanging="1440"/>
      </w:pPr>
      <w:r w:rsidRPr="00842C3F">
        <w:rPr>
          <w:noProof/>
        </w:rPr>
        <w:drawing>
          <wp:anchor distT="0" distB="0" distL="114300" distR="114300" simplePos="0" relativeHeight="251659264" behindDoc="0" locked="0" layoutInCell="1" allowOverlap="1" wp14:anchorId="6BB3D517" wp14:editId="6D02D189">
            <wp:simplePos x="0" y="0"/>
            <wp:positionH relativeFrom="column">
              <wp:posOffset>5648325</wp:posOffset>
            </wp:positionH>
            <wp:positionV relativeFrom="paragraph">
              <wp:posOffset>3175</wp:posOffset>
            </wp:positionV>
            <wp:extent cx="1179576" cy="1179576"/>
            <wp:effectExtent l="0" t="0" r="1905" b="1905"/>
            <wp:wrapSquare wrapText="bothSides"/>
            <wp:docPr id="9" name="Picture 9" descr="J:\DVSTAT\000 DV MEMOS\2016\DV 2016-12-21\CitiStat-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J:\DVSTAT\000 DV MEMOS\2016\DV 2016-12-21\CitiStat-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9576" cy="11795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2B6">
        <w:rPr>
          <w:b/>
          <w:bCs/>
        </w:rPr>
        <w:t>TO:</w:t>
      </w:r>
      <w:r>
        <w:tab/>
      </w:r>
      <w:r>
        <w:tab/>
      </w:r>
      <w:r w:rsidRPr="00FD62B6">
        <w:t xml:space="preserve">The Honorable Mayor </w:t>
      </w:r>
      <w:r>
        <w:t>Catherine E. Pugh</w:t>
      </w:r>
    </w:p>
    <w:p w:rsidR="002D063B" w:rsidRPr="00C93265" w:rsidRDefault="002D063B" w:rsidP="002D063B">
      <w:pPr>
        <w:widowControl w:val="0"/>
        <w:tabs>
          <w:tab w:val="left" w:pos="-720"/>
        </w:tabs>
        <w:ind w:left="2160" w:right="720" w:hanging="1440"/>
      </w:pPr>
      <w:r>
        <w:rPr>
          <w:b/>
          <w:bCs/>
        </w:rPr>
        <w:tab/>
      </w:r>
      <w:r>
        <w:rPr>
          <w:b/>
          <w:bCs/>
        </w:rPr>
        <w:tab/>
      </w:r>
      <w:r w:rsidRPr="00C93265">
        <w:rPr>
          <w:bCs/>
        </w:rPr>
        <w:t>Pete</w:t>
      </w:r>
      <w:r w:rsidR="003F46B6">
        <w:rPr>
          <w:bCs/>
        </w:rPr>
        <w:t>r Hammen, Chief Operating Officer</w:t>
      </w:r>
      <w:bookmarkStart w:id="0" w:name="_GoBack"/>
      <w:bookmarkEnd w:id="0"/>
    </w:p>
    <w:p w:rsidR="002D063B" w:rsidRDefault="002D063B" w:rsidP="002D063B">
      <w:pPr>
        <w:widowControl w:val="0"/>
        <w:tabs>
          <w:tab w:val="left" w:pos="-720"/>
        </w:tabs>
        <w:ind w:left="2160" w:right="720" w:hanging="1440"/>
      </w:pPr>
      <w:r>
        <w:tab/>
      </w:r>
      <w:r>
        <w:tab/>
        <w:t>Tisha Edwards, Chief of Staff</w:t>
      </w:r>
    </w:p>
    <w:p w:rsidR="002D063B" w:rsidRPr="002D063B" w:rsidRDefault="002D063B" w:rsidP="002D063B">
      <w:pPr>
        <w:widowControl w:val="0"/>
        <w:tabs>
          <w:tab w:val="left" w:pos="-720"/>
        </w:tabs>
        <w:ind w:left="2880" w:right="720" w:hanging="1440"/>
      </w:pPr>
      <w:r>
        <w:tab/>
        <w:t>Jim Smith, Chief of Strategic Alliances</w:t>
      </w:r>
    </w:p>
    <w:p w:rsidR="002D063B" w:rsidRDefault="002D063B" w:rsidP="002D063B">
      <w:pPr>
        <w:widowControl w:val="0"/>
        <w:tabs>
          <w:tab w:val="left" w:pos="-720"/>
        </w:tabs>
        <w:ind w:left="2160" w:right="720" w:hanging="1440"/>
      </w:pPr>
      <w:r>
        <w:tab/>
      </w:r>
      <w:r>
        <w:tab/>
        <w:t xml:space="preserve">Sameer Sidh, Director of CitiStat </w:t>
      </w:r>
    </w:p>
    <w:p w:rsidR="002D063B" w:rsidRPr="00675EDC" w:rsidRDefault="002D063B" w:rsidP="002D063B">
      <w:pPr>
        <w:widowControl w:val="0"/>
        <w:tabs>
          <w:tab w:val="left" w:pos="-720"/>
        </w:tabs>
        <w:ind w:left="2160" w:right="720" w:hanging="1440"/>
        <w:rPr>
          <w:b/>
        </w:rPr>
      </w:pPr>
      <w:r>
        <w:tab/>
      </w:r>
      <w:r>
        <w:tab/>
      </w:r>
      <w:r w:rsidRPr="00FD62B6">
        <w:rPr>
          <w:b/>
        </w:rPr>
        <w:tab/>
      </w:r>
      <w:r w:rsidRPr="00FD62B6">
        <w:rPr>
          <w:b/>
        </w:rPr>
        <w:tab/>
      </w:r>
    </w:p>
    <w:p w:rsidR="002D063B" w:rsidRDefault="002D063B" w:rsidP="002D063B">
      <w:pPr>
        <w:tabs>
          <w:tab w:val="left" w:pos="-720"/>
        </w:tabs>
        <w:ind w:left="2160" w:right="720" w:hanging="1440"/>
      </w:pPr>
      <w:r w:rsidRPr="00FD62B6">
        <w:rPr>
          <w:b/>
          <w:bCs/>
        </w:rPr>
        <w:t>FROM:</w:t>
      </w:r>
      <w:r w:rsidRPr="00FD62B6">
        <w:rPr>
          <w:b/>
          <w:bCs/>
        </w:rPr>
        <w:tab/>
      </w:r>
      <w:r w:rsidRPr="00FD62B6">
        <w:rPr>
          <w:b/>
          <w:bCs/>
        </w:rPr>
        <w:tab/>
      </w:r>
      <w:r w:rsidRPr="00FD62B6">
        <w:t>CitiStat Team</w:t>
      </w:r>
    </w:p>
    <w:p w:rsidR="002D063B" w:rsidRDefault="002D063B" w:rsidP="002D063B">
      <w:pPr>
        <w:tabs>
          <w:tab w:val="left" w:pos="-720"/>
        </w:tabs>
        <w:ind w:right="720"/>
      </w:pPr>
    </w:p>
    <w:p w:rsidR="002D063B" w:rsidRDefault="002D063B" w:rsidP="002D063B">
      <w:pPr>
        <w:tabs>
          <w:tab w:val="left" w:pos="-720"/>
        </w:tabs>
        <w:ind w:left="2160" w:right="720" w:hanging="1440"/>
        <w:rPr>
          <w:bCs/>
        </w:rPr>
      </w:pPr>
      <w:r>
        <w:rPr>
          <w:b/>
          <w:bCs/>
        </w:rPr>
        <w:t>SUBJECT</w:t>
      </w:r>
      <w:r w:rsidRPr="00FD62B6">
        <w:rPr>
          <w:b/>
          <w:bCs/>
        </w:rPr>
        <w:t>:</w:t>
      </w:r>
      <w:r w:rsidRPr="00FD62B6">
        <w:rPr>
          <w:b/>
          <w:bCs/>
        </w:rPr>
        <w:tab/>
      </w:r>
      <w:r w:rsidRPr="00FD62B6">
        <w:rPr>
          <w:b/>
          <w:bCs/>
        </w:rPr>
        <w:tab/>
      </w:r>
      <w:r>
        <w:rPr>
          <w:bCs/>
        </w:rPr>
        <w:t>Operational Liabilities Stat Meeting Summary Briefing</w:t>
      </w:r>
    </w:p>
    <w:p w:rsidR="002D063B" w:rsidRDefault="002D063B" w:rsidP="002D063B">
      <w:pPr>
        <w:tabs>
          <w:tab w:val="left" w:pos="-720"/>
        </w:tabs>
        <w:ind w:right="720"/>
        <w:rPr>
          <w:bCs/>
        </w:rPr>
      </w:pPr>
    </w:p>
    <w:p w:rsidR="002D063B" w:rsidRDefault="002D063B" w:rsidP="002D063B">
      <w:pPr>
        <w:tabs>
          <w:tab w:val="left" w:pos="-720"/>
        </w:tabs>
        <w:ind w:right="720"/>
        <w:rPr>
          <w:b/>
          <w:bCs/>
          <w:u w:val="single"/>
        </w:rPr>
      </w:pPr>
      <w:r>
        <w:rPr>
          <w:b/>
          <w:bCs/>
          <w:u w:val="single"/>
        </w:rPr>
        <w:t>Making Progress</w:t>
      </w:r>
    </w:p>
    <w:p w:rsidR="002D063B" w:rsidRDefault="002D063B" w:rsidP="002D063B">
      <w:pPr>
        <w:tabs>
          <w:tab w:val="left" w:pos="-720"/>
        </w:tabs>
        <w:ind w:right="720"/>
        <w:rPr>
          <w:b/>
          <w:bCs/>
          <w:u w:val="single"/>
        </w:rPr>
      </w:pPr>
    </w:p>
    <w:p w:rsidR="000A101C" w:rsidRPr="000A101C" w:rsidRDefault="000A101C" w:rsidP="00EF6CD0">
      <w:pPr>
        <w:pStyle w:val="ListParagraph"/>
        <w:numPr>
          <w:ilvl w:val="0"/>
          <w:numId w:val="1"/>
        </w:numPr>
        <w:tabs>
          <w:tab w:val="left" w:pos="-720"/>
        </w:tabs>
        <w:ind w:right="720"/>
        <w:jc w:val="both"/>
        <w:rPr>
          <w:b/>
          <w:bCs/>
          <w:u w:val="single"/>
        </w:rPr>
      </w:pPr>
      <w:r>
        <w:rPr>
          <w:b/>
          <w:bCs/>
        </w:rPr>
        <w:t>Fire Department Vacancies</w:t>
      </w:r>
      <w:r w:rsidR="005E5BBB">
        <w:rPr>
          <w:b/>
          <w:bCs/>
        </w:rPr>
        <w:t xml:space="preserve">. </w:t>
      </w:r>
      <w:r>
        <w:rPr>
          <w:bCs/>
        </w:rPr>
        <w:t>The Bureau of Budget Management and Research (</w:t>
      </w:r>
      <w:r>
        <w:t>BBMR) provided CitiStat with an agency breakdown of vacancies as of April 1</w:t>
      </w:r>
      <w:r>
        <w:rPr>
          <w:vertAlign w:val="superscript"/>
        </w:rPr>
        <w:t>st</w:t>
      </w:r>
      <w:r>
        <w:t xml:space="preserve">, 2017. Since the last Operational Liabilities Stat meeting, the Fire Department filled 35 vacancies due to the graduation of a Fire Academy class. The panel discussed when the graduating class would be ready for field work, and when the next Academy class would be entering. </w:t>
      </w:r>
    </w:p>
    <w:p w:rsidR="000A101C" w:rsidRDefault="000A101C" w:rsidP="000A101C">
      <w:pPr>
        <w:tabs>
          <w:tab w:val="left" w:pos="-720"/>
        </w:tabs>
        <w:ind w:right="720"/>
        <w:rPr>
          <w:b/>
          <w:bCs/>
          <w:u w:val="single"/>
        </w:rPr>
      </w:pPr>
    </w:p>
    <w:p w:rsidR="000A101C" w:rsidRDefault="000A101C" w:rsidP="000A101C">
      <w:pPr>
        <w:tabs>
          <w:tab w:val="left" w:pos="-720"/>
        </w:tabs>
        <w:ind w:right="720"/>
        <w:jc w:val="center"/>
        <w:rPr>
          <w:b/>
          <w:bCs/>
          <w:u w:val="single"/>
        </w:rPr>
      </w:pPr>
      <w:r>
        <w:rPr>
          <w:noProof/>
        </w:rPr>
        <w:drawing>
          <wp:inline distT="0" distB="0" distL="0" distR="0" wp14:anchorId="75311E33" wp14:editId="2B8E900F">
            <wp:extent cx="4114800" cy="243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14800" cy="2438400"/>
                    </a:xfrm>
                    <a:prstGeom prst="rect">
                      <a:avLst/>
                    </a:prstGeom>
                  </pic:spPr>
                </pic:pic>
              </a:graphicData>
            </a:graphic>
          </wp:inline>
        </w:drawing>
      </w:r>
    </w:p>
    <w:p w:rsidR="000A101C" w:rsidRDefault="000A101C" w:rsidP="000A101C">
      <w:pPr>
        <w:tabs>
          <w:tab w:val="left" w:pos="-720"/>
        </w:tabs>
        <w:ind w:right="720"/>
        <w:jc w:val="center"/>
        <w:rPr>
          <w:b/>
          <w:bCs/>
          <w:u w:val="single"/>
        </w:rPr>
      </w:pPr>
    </w:p>
    <w:p w:rsidR="000A101C" w:rsidRDefault="000A101C" w:rsidP="000A101C">
      <w:pPr>
        <w:tabs>
          <w:tab w:val="left" w:pos="-720"/>
        </w:tabs>
        <w:ind w:right="720"/>
        <w:jc w:val="center"/>
        <w:rPr>
          <w:b/>
          <w:bCs/>
          <w:u w:val="single"/>
        </w:rPr>
      </w:pPr>
      <w:r>
        <w:rPr>
          <w:noProof/>
        </w:rPr>
        <w:drawing>
          <wp:inline distT="0" distB="0" distL="0" distR="0" wp14:anchorId="2BDB8DFB" wp14:editId="2265F206">
            <wp:extent cx="5000625" cy="16383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00625" cy="1638300"/>
                    </a:xfrm>
                    <a:prstGeom prst="rect">
                      <a:avLst/>
                    </a:prstGeom>
                  </pic:spPr>
                </pic:pic>
              </a:graphicData>
            </a:graphic>
          </wp:inline>
        </w:drawing>
      </w:r>
    </w:p>
    <w:p w:rsidR="000A101C" w:rsidRPr="000A101C" w:rsidRDefault="000A101C" w:rsidP="00EF6CD0">
      <w:pPr>
        <w:pStyle w:val="ListParagraph"/>
        <w:numPr>
          <w:ilvl w:val="0"/>
          <w:numId w:val="1"/>
        </w:numPr>
        <w:tabs>
          <w:tab w:val="left" w:pos="-720"/>
        </w:tabs>
        <w:ind w:right="720"/>
        <w:jc w:val="both"/>
        <w:rPr>
          <w:b/>
          <w:bCs/>
          <w:u w:val="single"/>
        </w:rPr>
      </w:pPr>
      <w:r>
        <w:rPr>
          <w:b/>
          <w:bCs/>
        </w:rPr>
        <w:lastRenderedPageBreak/>
        <w:t xml:space="preserve">Workers’ Compensation. </w:t>
      </w:r>
      <w:r>
        <w:t xml:space="preserve">The Office of Risk Management (ORM) sends out a monthly template summarizing workers’ compensation claims and costs by agency. At the March 2017 Operational Liabilities Stat meeting, ORM stated that the Department of Transportation (DOT) consistently reported employee workers’ compensation claims ‘on-time,’ (i.e. within 0-5 days of the injury incident; ORM’s goal is that 95% of injury claims are reported during within this timeframe). As shown in the March 2016 to March 2017 comparison below, on-time reporting has largely improved. </w:t>
      </w:r>
    </w:p>
    <w:p w:rsidR="000A101C" w:rsidRDefault="000A101C" w:rsidP="000A101C">
      <w:pPr>
        <w:tabs>
          <w:tab w:val="left" w:pos="-720"/>
        </w:tabs>
        <w:ind w:right="720"/>
        <w:rPr>
          <w:b/>
          <w:bCs/>
          <w:u w:val="single"/>
        </w:rPr>
      </w:pPr>
    </w:p>
    <w:p w:rsidR="000A101C" w:rsidRPr="000A101C" w:rsidRDefault="000A101C" w:rsidP="000A101C">
      <w:pPr>
        <w:tabs>
          <w:tab w:val="left" w:pos="-720"/>
        </w:tabs>
        <w:ind w:right="720"/>
        <w:jc w:val="center"/>
        <w:rPr>
          <w:b/>
          <w:bCs/>
          <w:u w:val="single"/>
        </w:rPr>
      </w:pPr>
      <w:r>
        <w:rPr>
          <w:noProof/>
        </w:rPr>
        <w:drawing>
          <wp:inline distT="0" distB="0" distL="0" distR="0" wp14:anchorId="48CBF04D" wp14:editId="19FC03A7">
            <wp:extent cx="4381500" cy="3571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81500" cy="3571875"/>
                    </a:xfrm>
                    <a:prstGeom prst="rect">
                      <a:avLst/>
                    </a:prstGeom>
                  </pic:spPr>
                </pic:pic>
              </a:graphicData>
            </a:graphic>
          </wp:inline>
        </w:drawing>
      </w:r>
    </w:p>
    <w:p w:rsidR="000A101C" w:rsidRPr="000A101C" w:rsidRDefault="000A101C" w:rsidP="000A101C">
      <w:pPr>
        <w:tabs>
          <w:tab w:val="left" w:pos="-720"/>
        </w:tabs>
        <w:ind w:right="720"/>
        <w:jc w:val="center"/>
        <w:rPr>
          <w:b/>
          <w:bCs/>
          <w:u w:val="single"/>
        </w:rPr>
      </w:pPr>
    </w:p>
    <w:p w:rsidR="000A101C" w:rsidRPr="000A101C" w:rsidRDefault="000A101C" w:rsidP="000A101C">
      <w:pPr>
        <w:pStyle w:val="ListParagraph"/>
        <w:tabs>
          <w:tab w:val="left" w:pos="-720"/>
        </w:tabs>
        <w:ind w:left="360" w:right="720"/>
        <w:rPr>
          <w:b/>
          <w:bCs/>
          <w:u w:val="single"/>
        </w:rPr>
      </w:pPr>
    </w:p>
    <w:p w:rsidR="002D063B" w:rsidRDefault="002D063B" w:rsidP="000A101C">
      <w:pPr>
        <w:tabs>
          <w:tab w:val="left" w:pos="-720"/>
        </w:tabs>
        <w:ind w:right="720"/>
        <w:rPr>
          <w:b/>
          <w:bCs/>
          <w:u w:val="single"/>
        </w:rPr>
      </w:pPr>
      <w:r w:rsidRPr="000A101C">
        <w:rPr>
          <w:b/>
          <w:bCs/>
          <w:u w:val="single"/>
        </w:rPr>
        <w:t>Needs Improvement</w:t>
      </w:r>
    </w:p>
    <w:p w:rsidR="000A101C" w:rsidRDefault="000A101C" w:rsidP="000A101C">
      <w:pPr>
        <w:tabs>
          <w:tab w:val="left" w:pos="-720"/>
        </w:tabs>
        <w:ind w:right="720"/>
        <w:rPr>
          <w:b/>
          <w:bCs/>
          <w:u w:val="single"/>
        </w:rPr>
      </w:pPr>
    </w:p>
    <w:p w:rsidR="00EF6CD0" w:rsidRPr="00EF6CD0" w:rsidRDefault="000A101C" w:rsidP="00EF6CD0">
      <w:pPr>
        <w:pStyle w:val="ListParagraph"/>
        <w:numPr>
          <w:ilvl w:val="0"/>
          <w:numId w:val="1"/>
        </w:numPr>
        <w:jc w:val="both"/>
        <w:rPr>
          <w:rFonts w:ascii="Calibri" w:hAnsi="Calibri" w:cs="Calibri"/>
          <w:color w:val="000000"/>
          <w:sz w:val="22"/>
          <w:szCs w:val="22"/>
        </w:rPr>
      </w:pPr>
      <w:proofErr w:type="spellStart"/>
      <w:r w:rsidRPr="00B969D1">
        <w:rPr>
          <w:b/>
        </w:rPr>
        <w:t>N</w:t>
      </w:r>
      <w:r>
        <w:rPr>
          <w:b/>
        </w:rPr>
        <w:t>eo</w:t>
      </w:r>
      <w:r w:rsidRPr="00B969D1">
        <w:rPr>
          <w:b/>
        </w:rPr>
        <w:t>Gov</w:t>
      </w:r>
      <w:proofErr w:type="spellEnd"/>
      <w:r w:rsidRPr="00B969D1">
        <w:rPr>
          <w:b/>
        </w:rPr>
        <w:t xml:space="preserve"> </w:t>
      </w:r>
      <w:r>
        <w:rPr>
          <w:b/>
        </w:rPr>
        <w:t xml:space="preserve">Use </w:t>
      </w:r>
      <w:r w:rsidRPr="00B969D1">
        <w:rPr>
          <w:b/>
        </w:rPr>
        <w:t xml:space="preserve">Compliance. </w:t>
      </w:r>
      <w:r w:rsidR="00EF6CD0">
        <w:t xml:space="preserve">The </w:t>
      </w:r>
      <w:proofErr w:type="spellStart"/>
      <w:r w:rsidR="00EF6CD0">
        <w:t>NeoGov</w:t>
      </w:r>
      <w:proofErr w:type="spellEnd"/>
      <w:r w:rsidR="00EF6CD0">
        <w:t xml:space="preserve"> system is used by the Department of Human Resources (DHR) to track progress and efficiency through the various stages of the City’s hiring process.  In order to have reliable data on the time it takes to hire and the stages during the hiring process that cause delays, hiring agencies must consistently enter information into </w:t>
      </w:r>
      <w:proofErr w:type="spellStart"/>
      <w:r w:rsidR="00EF6CD0">
        <w:t>NeoGov</w:t>
      </w:r>
      <w:proofErr w:type="spellEnd"/>
      <w:r w:rsidR="00EF6CD0">
        <w:t xml:space="preserve">.  </w:t>
      </w:r>
    </w:p>
    <w:p w:rsidR="00EF6CD0" w:rsidRPr="00EF6CD0" w:rsidRDefault="00EF6CD0" w:rsidP="00EF6CD0">
      <w:pPr>
        <w:pStyle w:val="ListParagraph"/>
        <w:ind w:left="360"/>
        <w:jc w:val="both"/>
        <w:rPr>
          <w:rFonts w:ascii="Calibri" w:hAnsi="Calibri" w:cs="Calibri"/>
          <w:color w:val="000000"/>
          <w:sz w:val="22"/>
          <w:szCs w:val="22"/>
        </w:rPr>
      </w:pPr>
    </w:p>
    <w:p w:rsidR="000A101C" w:rsidRPr="000A101C" w:rsidRDefault="000A101C" w:rsidP="00EF6CD0">
      <w:pPr>
        <w:pStyle w:val="ListParagraph"/>
        <w:numPr>
          <w:ilvl w:val="0"/>
          <w:numId w:val="1"/>
        </w:numPr>
        <w:jc w:val="both"/>
        <w:rPr>
          <w:rFonts w:ascii="Calibri" w:hAnsi="Calibri" w:cs="Calibri"/>
          <w:color w:val="000000"/>
          <w:sz w:val="22"/>
          <w:szCs w:val="22"/>
        </w:rPr>
      </w:pPr>
      <w:r>
        <w:t xml:space="preserve">At the March Stat meeting, the panel discussed that certain Operational Agencies were not consistently entering data into the </w:t>
      </w:r>
      <w:proofErr w:type="spellStart"/>
      <w:r>
        <w:t>NeoGov</w:t>
      </w:r>
      <w:proofErr w:type="spellEnd"/>
      <w:r>
        <w:t xml:space="preserve"> system. DHR provided </w:t>
      </w:r>
      <w:proofErr w:type="spellStart"/>
      <w:r>
        <w:t>CitiStat</w:t>
      </w:r>
      <w:proofErr w:type="spellEnd"/>
      <w:r>
        <w:t xml:space="preserve"> with </w:t>
      </w:r>
      <w:proofErr w:type="spellStart"/>
      <w:r>
        <w:t>NeoGov</w:t>
      </w:r>
      <w:proofErr w:type="spellEnd"/>
      <w:r>
        <w:t xml:space="preserve"> data from between January 1</w:t>
      </w:r>
      <w:r w:rsidRPr="00B969D1">
        <w:rPr>
          <w:vertAlign w:val="superscript"/>
        </w:rPr>
        <w:t>st</w:t>
      </w:r>
      <w:r>
        <w:t>, 2017 and April 11</w:t>
      </w:r>
      <w:r w:rsidRPr="00B969D1">
        <w:rPr>
          <w:vertAlign w:val="superscript"/>
        </w:rPr>
        <w:t>th</w:t>
      </w:r>
      <w:r>
        <w:t xml:space="preserve">, 2017. There were 154 job positions that DHR approved between 1/1/2017 and 4/1/2017 in which no agency data had been entered, i.e. among all 154 positions, there was no record of interview, offer, and start dates in </w:t>
      </w:r>
      <w:proofErr w:type="spellStart"/>
      <w:r>
        <w:t>NeoGov</w:t>
      </w:r>
      <w:proofErr w:type="spellEnd"/>
      <w:r>
        <w:t xml:space="preserve">. Though a variety of factors can affect whether an interview or offer took place, data collection must be reliable among all City agencies. Below is a table showing the breakdown of the lack of DHR </w:t>
      </w:r>
      <w:proofErr w:type="spellStart"/>
      <w:r>
        <w:t>NeoGov</w:t>
      </w:r>
      <w:proofErr w:type="spellEnd"/>
      <w:r>
        <w:t xml:space="preserve"> data by Operational Agency. </w:t>
      </w:r>
    </w:p>
    <w:p w:rsidR="000A101C" w:rsidRDefault="000A101C" w:rsidP="000A101C">
      <w:pPr>
        <w:rPr>
          <w:rFonts w:ascii="Calibri" w:hAnsi="Calibri" w:cs="Calibri"/>
          <w:color w:val="000000"/>
          <w:sz w:val="22"/>
          <w:szCs w:val="22"/>
        </w:rPr>
      </w:pPr>
    </w:p>
    <w:p w:rsidR="000A101C" w:rsidRPr="000A101C" w:rsidRDefault="000A101C" w:rsidP="000A101C">
      <w:pPr>
        <w:jc w:val="center"/>
        <w:rPr>
          <w:rFonts w:ascii="Calibri" w:hAnsi="Calibri" w:cs="Calibri"/>
          <w:color w:val="000000"/>
          <w:sz w:val="22"/>
          <w:szCs w:val="22"/>
        </w:rPr>
      </w:pPr>
      <w:r w:rsidRPr="00660094">
        <w:rPr>
          <w:noProof/>
        </w:rPr>
        <w:lastRenderedPageBreak/>
        <w:drawing>
          <wp:inline distT="0" distB="0" distL="0" distR="0" wp14:anchorId="6E92BE5F" wp14:editId="0E9E3202">
            <wp:extent cx="3717775" cy="22193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9767" cy="2232453"/>
                    </a:xfrm>
                    <a:prstGeom prst="rect">
                      <a:avLst/>
                    </a:prstGeom>
                    <a:noFill/>
                    <a:ln>
                      <a:noFill/>
                    </a:ln>
                  </pic:spPr>
                </pic:pic>
              </a:graphicData>
            </a:graphic>
          </wp:inline>
        </w:drawing>
      </w:r>
    </w:p>
    <w:p w:rsidR="000A101C" w:rsidRPr="000A101C" w:rsidRDefault="000A101C" w:rsidP="000A101C">
      <w:pPr>
        <w:tabs>
          <w:tab w:val="left" w:pos="-720"/>
        </w:tabs>
        <w:ind w:right="720"/>
        <w:rPr>
          <w:b/>
          <w:bCs/>
          <w:u w:val="single"/>
        </w:rPr>
      </w:pPr>
    </w:p>
    <w:p w:rsidR="002D063B" w:rsidRDefault="002D063B" w:rsidP="002D063B">
      <w:pPr>
        <w:tabs>
          <w:tab w:val="left" w:pos="-720"/>
        </w:tabs>
        <w:ind w:right="720"/>
        <w:rPr>
          <w:b/>
          <w:bCs/>
          <w:u w:val="single"/>
        </w:rPr>
      </w:pPr>
    </w:p>
    <w:p w:rsidR="00A31359" w:rsidRDefault="00A31359" w:rsidP="00A31359">
      <w:pPr>
        <w:tabs>
          <w:tab w:val="left" w:pos="-720"/>
        </w:tabs>
        <w:ind w:right="720"/>
        <w:rPr>
          <w:b/>
          <w:bCs/>
          <w:u w:val="single"/>
        </w:rPr>
      </w:pPr>
    </w:p>
    <w:p w:rsidR="00A31359" w:rsidRPr="00A31359" w:rsidRDefault="00A31359" w:rsidP="00A31359">
      <w:pPr>
        <w:tabs>
          <w:tab w:val="left" w:pos="-720"/>
        </w:tabs>
        <w:ind w:right="720"/>
        <w:jc w:val="center"/>
        <w:rPr>
          <w:b/>
          <w:bCs/>
          <w:u w:val="single"/>
        </w:rPr>
      </w:pPr>
    </w:p>
    <w:p w:rsidR="00A31359" w:rsidRDefault="00A31359" w:rsidP="00A31359">
      <w:pPr>
        <w:jc w:val="center"/>
        <w:rPr>
          <w:bCs/>
        </w:rPr>
      </w:pPr>
    </w:p>
    <w:p w:rsidR="00A31359" w:rsidRDefault="00A31359" w:rsidP="00A31359">
      <w:pPr>
        <w:jc w:val="center"/>
      </w:pPr>
    </w:p>
    <w:p w:rsidR="00A31359" w:rsidRDefault="00A31359" w:rsidP="00A31359">
      <w:pPr>
        <w:jc w:val="center"/>
      </w:pPr>
    </w:p>
    <w:p w:rsidR="00A31359" w:rsidRDefault="00A31359" w:rsidP="00A31359">
      <w:pPr>
        <w:jc w:val="center"/>
      </w:pPr>
    </w:p>
    <w:p w:rsidR="00A31359" w:rsidRDefault="00A31359" w:rsidP="00A31359">
      <w:pPr>
        <w:jc w:val="center"/>
      </w:pPr>
    </w:p>
    <w:p w:rsidR="00A31359" w:rsidRDefault="00A31359" w:rsidP="00A31359">
      <w:pPr>
        <w:jc w:val="center"/>
      </w:pPr>
    </w:p>
    <w:p w:rsidR="00A31359" w:rsidRDefault="00A31359" w:rsidP="00A31359">
      <w:pPr>
        <w:jc w:val="center"/>
      </w:pPr>
    </w:p>
    <w:p w:rsidR="00A31359" w:rsidRDefault="00A31359" w:rsidP="00A31359">
      <w:pPr>
        <w:jc w:val="center"/>
      </w:pPr>
    </w:p>
    <w:p w:rsidR="00A31359" w:rsidRDefault="00A31359" w:rsidP="00A31359">
      <w:pPr>
        <w:jc w:val="center"/>
      </w:pPr>
    </w:p>
    <w:p w:rsidR="00A31359" w:rsidRDefault="00A31359" w:rsidP="00A31359">
      <w:pPr>
        <w:jc w:val="center"/>
      </w:pPr>
    </w:p>
    <w:p w:rsidR="00A31359" w:rsidRDefault="00A31359" w:rsidP="00A31359">
      <w:pPr>
        <w:jc w:val="center"/>
      </w:pPr>
    </w:p>
    <w:p w:rsidR="00A31359" w:rsidRDefault="00A31359" w:rsidP="00A31359">
      <w:pPr>
        <w:jc w:val="center"/>
      </w:pPr>
    </w:p>
    <w:p w:rsidR="00A31359" w:rsidRDefault="00A31359" w:rsidP="00A31359">
      <w:pPr>
        <w:jc w:val="center"/>
      </w:pPr>
    </w:p>
    <w:p w:rsidR="00A31359" w:rsidRDefault="00A31359" w:rsidP="00A31359">
      <w:pPr>
        <w:jc w:val="center"/>
      </w:pPr>
    </w:p>
    <w:p w:rsidR="00A31359" w:rsidRDefault="00A31359" w:rsidP="00A31359">
      <w:pPr>
        <w:jc w:val="center"/>
      </w:pPr>
    </w:p>
    <w:p w:rsidR="00A31359" w:rsidRDefault="00A31359" w:rsidP="00A31359">
      <w:pPr>
        <w:jc w:val="center"/>
      </w:pPr>
    </w:p>
    <w:p w:rsidR="00A31359" w:rsidRDefault="00A31359" w:rsidP="00A31359">
      <w:pPr>
        <w:jc w:val="center"/>
      </w:pPr>
    </w:p>
    <w:p w:rsidR="00A31359" w:rsidRDefault="00A31359" w:rsidP="00A31359">
      <w:pPr>
        <w:jc w:val="center"/>
      </w:pPr>
    </w:p>
    <w:p w:rsidR="00A31359" w:rsidRDefault="00A31359" w:rsidP="00A31359">
      <w:pPr>
        <w:jc w:val="center"/>
      </w:pPr>
    </w:p>
    <w:p w:rsidR="00A31359" w:rsidRDefault="00A31359" w:rsidP="00A31359">
      <w:pPr>
        <w:jc w:val="center"/>
      </w:pPr>
    </w:p>
    <w:p w:rsidR="00A31359" w:rsidRDefault="00A31359" w:rsidP="00A31359">
      <w:pPr>
        <w:jc w:val="center"/>
      </w:pPr>
    </w:p>
    <w:p w:rsidR="00237BFB" w:rsidRDefault="00237BFB" w:rsidP="00A31359">
      <w:pPr>
        <w:jc w:val="center"/>
      </w:pPr>
    </w:p>
    <w:p w:rsidR="00A31359" w:rsidRDefault="00A31359" w:rsidP="00A31359">
      <w:pPr>
        <w:jc w:val="center"/>
      </w:pPr>
    </w:p>
    <w:p w:rsidR="00A31359" w:rsidRDefault="00A31359" w:rsidP="00A31359">
      <w:pPr>
        <w:jc w:val="center"/>
      </w:pPr>
    </w:p>
    <w:p w:rsidR="00A31359" w:rsidRDefault="00A31359" w:rsidP="00A31359">
      <w:pPr>
        <w:jc w:val="center"/>
      </w:pPr>
    </w:p>
    <w:p w:rsidR="00A31359" w:rsidRDefault="00A31359" w:rsidP="00A31359">
      <w:pPr>
        <w:jc w:val="center"/>
      </w:pPr>
    </w:p>
    <w:p w:rsidR="00A31359" w:rsidRDefault="00A31359" w:rsidP="00A31359">
      <w:pPr>
        <w:jc w:val="center"/>
      </w:pPr>
    </w:p>
    <w:p w:rsidR="00A31359" w:rsidRDefault="00A31359" w:rsidP="00A31359">
      <w:pPr>
        <w:jc w:val="center"/>
      </w:pPr>
    </w:p>
    <w:p w:rsidR="00A31359" w:rsidRDefault="00A31359" w:rsidP="00A31359">
      <w:pPr>
        <w:jc w:val="center"/>
      </w:pPr>
    </w:p>
    <w:p w:rsidR="00A31359" w:rsidRDefault="00A31359" w:rsidP="00A31359">
      <w:pPr>
        <w:jc w:val="center"/>
      </w:pPr>
    </w:p>
    <w:p w:rsidR="00A31359" w:rsidRDefault="00A31359" w:rsidP="00A31359">
      <w:pPr>
        <w:jc w:val="center"/>
      </w:pPr>
    </w:p>
    <w:p w:rsidR="00A31359" w:rsidRDefault="00A31359" w:rsidP="00A31359">
      <w:pPr>
        <w:jc w:val="center"/>
      </w:pPr>
    </w:p>
    <w:p w:rsidR="00A31359" w:rsidRDefault="00A31359" w:rsidP="00A31359">
      <w:pPr>
        <w:jc w:val="center"/>
      </w:pPr>
    </w:p>
    <w:sectPr w:rsidR="00A31359" w:rsidSect="002D06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028E0"/>
    <w:multiLevelType w:val="hybridMultilevel"/>
    <w:tmpl w:val="99829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194B32"/>
    <w:multiLevelType w:val="hybridMultilevel"/>
    <w:tmpl w:val="6CC64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63B"/>
    <w:rsid w:val="000A101C"/>
    <w:rsid w:val="00237BFB"/>
    <w:rsid w:val="002D063B"/>
    <w:rsid w:val="003F46B6"/>
    <w:rsid w:val="005E5BBB"/>
    <w:rsid w:val="00A31359"/>
    <w:rsid w:val="00EF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6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63B"/>
    <w:pPr>
      <w:ind w:left="720"/>
      <w:contextualSpacing/>
    </w:pPr>
  </w:style>
  <w:style w:type="paragraph" w:styleId="BalloonText">
    <w:name w:val="Balloon Text"/>
    <w:basedOn w:val="Normal"/>
    <w:link w:val="BalloonTextChar"/>
    <w:uiPriority w:val="99"/>
    <w:semiHidden/>
    <w:unhideWhenUsed/>
    <w:rsid w:val="00EF6CD0"/>
    <w:rPr>
      <w:rFonts w:ascii="Tahoma" w:hAnsi="Tahoma" w:cs="Tahoma"/>
      <w:sz w:val="16"/>
      <w:szCs w:val="16"/>
    </w:rPr>
  </w:style>
  <w:style w:type="character" w:customStyle="1" w:styleId="BalloonTextChar">
    <w:name w:val="Balloon Text Char"/>
    <w:basedOn w:val="DefaultParagraphFont"/>
    <w:link w:val="BalloonText"/>
    <w:uiPriority w:val="99"/>
    <w:semiHidden/>
    <w:rsid w:val="00EF6CD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6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63B"/>
    <w:pPr>
      <w:ind w:left="720"/>
      <w:contextualSpacing/>
    </w:pPr>
  </w:style>
  <w:style w:type="paragraph" w:styleId="BalloonText">
    <w:name w:val="Balloon Text"/>
    <w:basedOn w:val="Normal"/>
    <w:link w:val="BalloonTextChar"/>
    <w:uiPriority w:val="99"/>
    <w:semiHidden/>
    <w:unhideWhenUsed/>
    <w:rsid w:val="00EF6CD0"/>
    <w:rPr>
      <w:rFonts w:ascii="Tahoma" w:hAnsi="Tahoma" w:cs="Tahoma"/>
      <w:sz w:val="16"/>
      <w:szCs w:val="16"/>
    </w:rPr>
  </w:style>
  <w:style w:type="character" w:customStyle="1" w:styleId="BalloonTextChar">
    <w:name w:val="Balloon Text Char"/>
    <w:basedOn w:val="DefaultParagraphFont"/>
    <w:link w:val="BalloonText"/>
    <w:uiPriority w:val="99"/>
    <w:semiHidden/>
    <w:rsid w:val="00EF6CD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Narayen, Arish</dc:creator>
  <cp:lastModifiedBy>Sidh, Sameer</cp:lastModifiedBy>
  <cp:revision>3</cp:revision>
  <dcterms:created xsi:type="dcterms:W3CDTF">2017-05-30T12:39:00Z</dcterms:created>
  <dcterms:modified xsi:type="dcterms:W3CDTF">2017-05-30T12:40:00Z</dcterms:modified>
</cp:coreProperties>
</file>